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103</w:t>
      </w:r>
    </w:p>
    <w:p>
      <w:r>
        <w:t>Bundesgericht (BGE), 1993-12-21, FR</w:t>
      </w:r>
    </w:p>
    <w:p>
      <w:r>
        <w:rPr>
          <w:b/>
        </w:rPr>
        <w:t xml:space="preserve">Quelle: </w:t>
      </w:r>
      <w:r>
        <w:t>https://mcp.opencaselaw.ch/entscheid/bge_119 III 103</w:t>
      </w:r>
    </w:p>
    <w:p>
      <w:r>
        <w:t>FR: ATF 119 III 103</w:t>
      </w:r>
    </w:p>
    <w:p>
      <w:r>
        <w:t>IT: DTF 119 III 103</w:t>
      </w:r>
    </w:p>
    <w:p>
      <w:pPr>
        <w:pStyle w:val="Heading2"/>
      </w:pPr>
      <w:r>
        <w:t>Regeste</w:t>
      </w:r>
    </w:p>
    <w:p>
      <w:r>
        <w:t>Regeste Beneficium excussionis realis (Art. 41 SchKG); Beweislast (Art. 8 ZGB). Die Rüge der Verletzung der Regel über die Beweislastverteilung ist unbegründet, wenn die Tatsache - vorliegend das Bestehen eines Hypothekarkredits - von Amtes wegen festgestellt oder durch jene Partei dargetan wird, welche nicht die Beweislast trägt (E. 1).</w:t>
      </w:r>
    </w:p>
    <w:p>
      <w:pPr>
        <w:pStyle w:val="Heading2"/>
      </w:pPr>
      <w:r>
        <w:t>Erwägungen</w:t>
      </w:r>
    </w:p>
    <w:p>
      <w:r>
        <w:rPr>
          <w:b/>
        </w:rPr>
        <w:t>E. 1</w:t>
      </w:r>
    </w:p>
    <w:p>
      <w:r>
        <w:t>La règle de droit fédéral sur le fardeau de la preuve ( art. 8 CC ) n'interdit pas de retenir un fait d'office. Lorsque le fait est ainsi établi d'office, ou par la partie qui n'assumait pas le fardeau de la preuve, la règle de répartition précitée devient sans objet ( ATF 118 II 142 consid. 3a p. 147; J.-F. POUDRET, Commentaire de la loi fédérale d'organisation judiciaire, vol II, Berne 1990, p. 160). En l'espèce, le moyen de preuve, savoir le contrat de prêt du 13 juillet 1989, a été produit par la recourante elle-même, à la requête de l'autorité cantonale de surveillance. Il a permis à celle-ci de constater l'absence de toute disposition expresse stipulant que le gage était uniquement destiné à garantir le crédit consenti aux trois sociétés immobilières; son appréciation l'a au contraire convaincue de l'existence d'un prêt hypothécaire - c'est-à-dire, dans le langage courant, un prêt garanti par un gage sur un immeuble - accordé aux quatre débiteurs solidaires (les trois sociétés immobilières et D.). Le grief de violation de la règle sur le fardeau de la preuve est donc dépourvu de consistance.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